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9"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лицами, замещающими должности членов Совета директоров Центрального банка Российской Федерации, иные должности</w:t>
      </w:r>
      <w:r w:rsidR="00A51C4B" w:rsidRPr="00E00F6B">
        <w:t xml:space="preserve"> </w:t>
      </w:r>
      <w:r w:rsidRPr="00E00F6B">
        <w:t xml:space="preserve">в Центральном банке Российской Федерации, включенные в </w:t>
      </w:r>
      <w:hyperlink r:id="rId10"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E00F6B">
        <w:rPr>
          <w:rFonts w:ascii="Times New Roman" w:hAnsi="Times New Roman"/>
          <w:sz w:val="28"/>
          <w:szCs w:val="28"/>
        </w:rPr>
        <w:t xml:space="preserve"> </w:t>
      </w:r>
      <w:r w:rsidRPr="00E00F6B">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lastRenderedPageBreak/>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BB2E19" w:rsidRPr="00E00F6B">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а также</w:t>
      </w:r>
      <w:r w:rsidR="00D709FC" w:rsidRPr="00E00F6B">
        <w:rPr>
          <w:rFonts w:ascii="Times New Roman" w:hAnsi="Times New Roman"/>
          <w:sz w:val="28"/>
          <w:szCs w:val="28"/>
        </w:rPr>
        <w:t xml:space="preserve"> </w:t>
      </w:r>
      <w:r w:rsidR="001F43C6" w:rsidRPr="00E00F6B">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E00F6B">
        <w:rPr>
          <w:rFonts w:ascii="Times New Roman" w:hAnsi="Times New Roman"/>
          <w:sz w:val="28"/>
          <w:szCs w:val="28"/>
        </w:rPr>
        <w:lastRenderedPageBreak/>
        <w:t xml:space="preserve">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00062BDB" w:rsidRPr="00E00F6B">
        <w:rPr>
          <w:rFonts w:ascii="Times New Roman" w:hAnsi="Times New Roman"/>
          <w:sz w:val="28"/>
          <w:szCs w:val="28"/>
        </w:rPr>
        <w:t xml:space="preserve"> </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w:t>
      </w:r>
      <w:r w:rsidR="00105EFF" w:rsidRPr="00E00F6B">
        <w:rPr>
          <w:rFonts w:ascii="Times New Roman" w:hAnsi="Times New Roman"/>
          <w:sz w:val="28"/>
          <w:szCs w:val="28"/>
        </w:rPr>
        <w:t xml:space="preserve"> </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r w:rsidR="007816AA" w:rsidRPr="00E00F6B">
        <w:rPr>
          <w:rFonts w:ascii="Times New Roman" w:hAnsi="Times New Roman"/>
          <w:sz w:val="28"/>
          <w:szCs w:val="28"/>
        </w:rPr>
        <w:t xml:space="preserve"> </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lastRenderedPageBreak/>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E00F6B">
              <w:rPr>
                <w:rFonts w:ascii="Times New Roman" w:hAnsi="Times New Roman"/>
                <w:sz w:val="28"/>
                <w:szCs w:val="28"/>
              </w:rPr>
              <w:lastRenderedPageBreak/>
              <w:t xml:space="preserve">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lastRenderedPageBreak/>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w:t>
            </w:r>
            <w:r w:rsidRPr="00E00F6B">
              <w:rPr>
                <w:rFonts w:ascii="Times New Roman" w:hAnsi="Times New Roman"/>
                <w:sz w:val="28"/>
                <w:szCs w:val="28"/>
              </w:rPr>
              <w:lastRenderedPageBreak/>
              <w:t xml:space="preserve">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сына представляются, </w:t>
            </w:r>
            <w:r w:rsidRPr="00E00F6B">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lastRenderedPageBreak/>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D709FC" w:rsidRPr="00E00F6B">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lastRenderedPageBreak/>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D709FC"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36"/>
          <w:szCs w:val="28"/>
        </w:rPr>
      </w:pPr>
      <w:r w:rsidRPr="00E00F6B">
        <w:rPr>
          <w:rFonts w:ascii="Times New Roman" w:hAnsi="Times New Roman"/>
          <w:sz w:val="36"/>
          <w:szCs w:val="28"/>
        </w:rPr>
        <w:t xml:space="preserve"> </w:t>
      </w:r>
      <w:r w:rsidR="00C370E3"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lastRenderedPageBreak/>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 xml:space="preserve">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w:t>
      </w:r>
      <w:r w:rsidR="00096ED3" w:rsidRPr="00E00F6B">
        <w:rPr>
          <w:rFonts w:ascii="Times New Roman" w:hAnsi="Times New Roman" w:cs="Times New Roman"/>
          <w:sz w:val="28"/>
          <w:szCs w:val="28"/>
        </w:rPr>
        <w:lastRenderedPageBreak/>
        <w:t>(работника),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w:t>
      </w:r>
      <w:r w:rsidRPr="00E00F6B">
        <w:rPr>
          <w:sz w:val="28"/>
          <w:szCs w:val="28"/>
        </w:rPr>
        <w:lastRenderedPageBreak/>
        <w:t xml:space="preserve">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w:t>
      </w:r>
      <w:r w:rsidR="00544487" w:rsidRPr="00E00F6B">
        <w:rPr>
          <w:rFonts w:ascii="Times New Roman" w:hAnsi="Times New Roman"/>
          <w:sz w:val="28"/>
          <w:szCs w:val="28"/>
        </w:rPr>
        <w:t xml:space="preserve"> </w:t>
      </w:r>
      <w:r w:rsidRPr="00E00F6B">
        <w:rPr>
          <w:rFonts w:ascii="Times New Roman" w:hAnsi="Times New Roman"/>
          <w:sz w:val="28"/>
          <w:szCs w:val="28"/>
        </w:rPr>
        <w:t>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lastRenderedPageBreak/>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E00F6B">
        <w:rPr>
          <w:rFonts w:ascii="Times New Roman" w:hAnsi="Times New Roman"/>
          <w:sz w:val="28"/>
          <w:szCs w:val="28"/>
        </w:rPr>
        <w:t xml:space="preserve"> </w:t>
      </w:r>
      <w:r w:rsidR="001F43C6" w:rsidRPr="00E00F6B">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Pr>
          <w:rFonts w:ascii="Times New Roman" w:hAnsi="Times New Roman"/>
          <w:sz w:val="28"/>
          <w:szCs w:val="28"/>
        </w:rPr>
        <w:t xml:space="preserve"> </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w:t>
      </w:r>
      <w:r w:rsidRPr="00E00F6B">
        <w:rPr>
          <w:rFonts w:ascii="Times New Roman" w:hAnsi="Times New Roman"/>
          <w:sz w:val="28"/>
          <w:szCs w:val="28"/>
        </w:rPr>
        <w:lastRenderedPageBreak/>
        <w:t>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 xml:space="preserve">наименование и реквизиты документа, являющегося </w:t>
      </w:r>
      <w:r w:rsidRPr="00E00F6B">
        <w:lastRenderedPageBreak/>
        <w:t>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w:t>
      </w:r>
      <w:r w:rsidRPr="00E00F6B">
        <w:rPr>
          <w:rFonts w:ascii="Times New Roman" w:hAnsi="Times New Roman"/>
          <w:sz w:val="28"/>
          <w:szCs w:val="28"/>
        </w:rPr>
        <w:lastRenderedPageBreak/>
        <w:t>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E00F6B">
        <w:rPr>
          <w:rFonts w:ascii="Times New Roman" w:hAnsi="Times New Roman"/>
          <w:color w:val="FF0000"/>
          <w:sz w:val="28"/>
          <w:szCs w:val="28"/>
        </w:rPr>
        <w:t xml:space="preserve"> </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w:t>
      </w:r>
      <w:r w:rsidR="00D709FC" w:rsidRPr="00E00F6B">
        <w:rPr>
          <w:rFonts w:ascii="Times New Roman" w:hAnsi="Times New Roman"/>
          <w:sz w:val="28"/>
          <w:szCs w:val="28"/>
        </w:rPr>
        <w:t xml:space="preserve"> </w:t>
      </w:r>
      <w:r w:rsidRPr="00E00F6B">
        <w:rPr>
          <w:rFonts w:ascii="Times New Roman" w:hAnsi="Times New Roman"/>
          <w:sz w:val="28"/>
          <w:szCs w:val="28"/>
        </w:rPr>
        <w:t>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w:t>
      </w:r>
      <w:r w:rsidRPr="00E00F6B">
        <w:rPr>
          <w:rStyle w:val="a8"/>
          <w:rFonts w:ascii="Times New Roman" w:hAnsi="Times New Roman" w:cs="Times New Roman"/>
          <w:color w:val="000000"/>
          <w:sz w:val="28"/>
          <w:szCs w:val="28"/>
        </w:rPr>
        <w:lastRenderedPageBreak/>
        <w:t xml:space="preserve">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Pr="00E00F6B">
        <w:rPr>
          <w:rStyle w:val="a8"/>
          <w:rFonts w:ascii="Times New Roman" w:hAnsi="Times New Roman" w:cs="Times New Roman"/>
          <w:sz w:val="28"/>
          <w:szCs w:val="28"/>
        </w:rPr>
        <w:t xml:space="preserve">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E00F6B">
        <w:rPr>
          <w:rFonts w:ascii="Times New Roman" w:hAnsi="Times New Roman"/>
          <w:sz w:val="28"/>
          <w:szCs w:val="28"/>
        </w:rPr>
        <w:t xml:space="preserve"> </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lastRenderedPageBreak/>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Pr="00E00F6B">
        <w:rPr>
          <w:rFonts w:ascii="Times New Roman" w:hAnsi="Times New Roman"/>
          <w:sz w:val="28"/>
          <w:szCs w:val="28"/>
        </w:rPr>
        <w:t xml:space="preserve"> </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rPr>
        <w:t xml:space="preserve"> </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lastRenderedPageBreak/>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 xml:space="preserve">6 Правил регистрации </w:t>
      </w:r>
      <w:r w:rsidRPr="00E00F6B">
        <w:rPr>
          <w:rFonts w:ascii="Times New Roman" w:hAnsi="Times New Roman"/>
          <w:sz w:val="28"/>
          <w:szCs w:val="28"/>
        </w:rPr>
        <w:lastRenderedPageBreak/>
        <w:t>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Pr="00E00F6B">
        <w:rPr>
          <w:rFonts w:ascii="Times New Roman" w:hAnsi="Times New Roman"/>
          <w:b/>
          <w:color w:val="000000"/>
          <w:sz w:val="28"/>
          <w:szCs w:val="28"/>
        </w:rPr>
        <w:t xml:space="preserve"> </w:t>
      </w:r>
      <w:r w:rsidR="001F3E28" w:rsidRPr="00E00F6B">
        <w:rPr>
          <w:rFonts w:ascii="Times New Roman" w:hAnsi="Times New Roman"/>
          <w:b/>
          <w:color w:val="000000"/>
          <w:sz w:val="28"/>
          <w:szCs w:val="28"/>
        </w:rPr>
        <w:t>«Место регистрации»</w:t>
      </w:r>
      <w:r w:rsidRPr="00E00F6B">
        <w:rPr>
          <w:rFonts w:ascii="Times New Roman" w:hAnsi="Times New Roman"/>
          <w:b/>
          <w:color w:val="000000"/>
          <w:sz w:val="28"/>
          <w:szCs w:val="28"/>
        </w:rPr>
        <w:t xml:space="preserve"> </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6"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7"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lastRenderedPageBreak/>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w:t>
      </w:r>
      <w:r w:rsidR="00096ED3" w:rsidRPr="00E00F6B">
        <w:t xml:space="preserve"> </w:t>
      </w:r>
      <w:r w:rsidR="008217B2" w:rsidRPr="00E00F6B">
        <w:rPr>
          <w:rStyle w:val="a8"/>
          <w:rFonts w:ascii="Times New Roman" w:hAnsi="Times New Roman" w:cs="Times New Roman"/>
          <w:color w:val="000000"/>
          <w:sz w:val="28"/>
          <w:szCs w:val="28"/>
        </w:rPr>
        <w:t>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w:t>
      </w:r>
      <w:r w:rsidRPr="00E00F6B">
        <w:rPr>
          <w:rFonts w:ascii="Times New Roman" w:hAnsi="Times New Roman"/>
          <w:sz w:val="28"/>
          <w:szCs w:val="28"/>
        </w:rPr>
        <w:lastRenderedPageBreak/>
        <w:t xml:space="preserve">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E00F6B">
        <w:rPr>
          <w:rFonts w:ascii="Times New Roman" w:hAnsi="Times New Roman"/>
          <w:color w:val="FF0000"/>
          <w:sz w:val="28"/>
          <w:szCs w:val="28"/>
        </w:rPr>
        <w:t xml:space="preserve">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0"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w:t>
            </w:r>
            <w:r w:rsidRPr="00E00F6B">
              <w:rPr>
                <w:rFonts w:ascii="Times New Roman" w:hAnsi="Times New Roman"/>
                <w:sz w:val="28"/>
                <w:szCs w:val="28"/>
              </w:rPr>
              <w:lastRenderedPageBreak/>
              <w:t xml:space="preserve">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lastRenderedPageBreak/>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 xml:space="preserve">лицом, которому открыт такой счет, подлежат </w:t>
      </w:r>
      <w:r w:rsidR="005C69BB" w:rsidRPr="00E00F6B">
        <w:rPr>
          <w:rFonts w:ascii="Times New Roman" w:hAnsi="Times New Roman"/>
          <w:sz w:val="28"/>
          <w:szCs w:val="28"/>
        </w:rPr>
        <w:lastRenderedPageBreak/>
        <w:t>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t xml:space="preserve"> </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D709FC" w:rsidRPr="00E00F6B">
        <w:rPr>
          <w:rFonts w:ascii="Times New Roman" w:hAnsi="Times New Roman"/>
          <w:sz w:val="28"/>
          <w:szCs w:val="28"/>
        </w:rPr>
        <w:t xml:space="preserve"> </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w:t>
      </w:r>
      <w:r w:rsidR="00D709FC" w:rsidRPr="00E00F6B">
        <w:rPr>
          <w:rFonts w:ascii="Times New Roman" w:hAnsi="Times New Roman"/>
          <w:sz w:val="28"/>
          <w:szCs w:val="28"/>
        </w:rPr>
        <w:t xml:space="preserve"> </w:t>
      </w:r>
      <w:r w:rsidRPr="00E00F6B">
        <w:rPr>
          <w:rFonts w:ascii="Times New Roman" w:hAnsi="Times New Roman"/>
          <w:sz w:val="28"/>
          <w:szCs w:val="28"/>
        </w:rPr>
        <w:t>№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w:t>
      </w:r>
      <w:r w:rsidRPr="00E00F6B">
        <w:rPr>
          <w:rFonts w:ascii="Times New Roman" w:hAnsi="Times New Roman"/>
          <w:sz w:val="28"/>
          <w:szCs w:val="28"/>
        </w:rPr>
        <w:lastRenderedPageBreak/>
        <w:t>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lastRenderedPageBreak/>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w:t>
      </w:r>
      <w:r w:rsidR="00C370E3" w:rsidRPr="00E00F6B">
        <w:rPr>
          <w:rFonts w:ascii="Times New Roman" w:hAnsi="Times New Roman"/>
          <w:sz w:val="28"/>
          <w:szCs w:val="28"/>
        </w:rPr>
        <w:lastRenderedPageBreak/>
        <w:t>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lastRenderedPageBreak/>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w:t>
      </w:r>
      <w:r w:rsidR="00096ED3" w:rsidRPr="00E00F6B">
        <w:rPr>
          <w:rFonts w:ascii="Times New Roman" w:hAnsi="Times New Roman"/>
          <w:sz w:val="28"/>
          <w:szCs w:val="28"/>
        </w:rPr>
        <w:lastRenderedPageBreak/>
        <w:t>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w:t>
      </w:r>
      <w:r w:rsidRPr="00E00F6B">
        <w:rPr>
          <w:rFonts w:ascii="Times New Roman" w:hAnsi="Times New Roman"/>
          <w:sz w:val="28"/>
          <w:szCs w:val="28"/>
        </w:rPr>
        <w:lastRenderedPageBreak/>
        <w:t>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00C459C2" w:rsidRPr="00E00F6B">
        <w:rPr>
          <w:rFonts w:ascii="Times New Roman" w:hAnsi="Times New Roman"/>
          <w:sz w:val="28"/>
          <w:szCs w:val="28"/>
        </w:rPr>
        <w:t xml:space="preserve"> </w:t>
      </w:r>
      <w:r w:rsidRPr="00E00F6B">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2A113B" w:rsidRPr="00E00F6B">
        <w:rPr>
          <w:rFonts w:ascii="Times New Roman" w:hAnsi="Times New Roman"/>
          <w:sz w:val="28"/>
          <w:szCs w:val="28"/>
        </w:rPr>
        <w:t xml:space="preserve"> </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«Транспортные средства» рекомендуется указывать вид, </w:t>
      </w:r>
      <w:r w:rsidRPr="00E00F6B">
        <w:rPr>
          <w:rFonts w:ascii="Times New Roman" w:hAnsi="Times New Roman"/>
          <w:sz w:val="28"/>
          <w:szCs w:val="28"/>
        </w:rPr>
        <w:lastRenderedPageBreak/>
        <w:t>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w:t>
      </w:r>
      <w:r w:rsidR="00B2437B" w:rsidRPr="00E00F6B" w:rsidDel="00B2437B">
        <w:rPr>
          <w:rFonts w:ascii="Times New Roman" w:hAnsi="Times New Roman"/>
          <w:sz w:val="28"/>
          <w:szCs w:val="28"/>
        </w:rPr>
        <w:t xml:space="preserve"> </w:t>
      </w:r>
      <w:r w:rsidR="00B2437B" w:rsidRPr="00E00F6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5"/>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C54" w:rsidRDefault="00BC3C54" w:rsidP="00204BB5">
      <w:r>
        <w:separator/>
      </w:r>
    </w:p>
  </w:endnote>
  <w:endnote w:type="continuationSeparator" w:id="0">
    <w:p w:rsidR="00BC3C54" w:rsidRDefault="00BC3C5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C54" w:rsidRDefault="00BC3C54" w:rsidP="00204BB5">
      <w:r>
        <w:separator/>
      </w:r>
    </w:p>
  </w:footnote>
  <w:footnote w:type="continuationSeparator" w:id="0">
    <w:p w:rsidR="00BC3C54" w:rsidRDefault="00BC3C5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C0" w:rsidRDefault="007819B3">
    <w:pPr>
      <w:pStyle w:val="a3"/>
      <w:jc w:val="center"/>
    </w:pPr>
    <w:r w:rsidRPr="00204BB5">
      <w:rPr>
        <w:rFonts w:ascii="Times New Roman" w:hAnsi="Times New Roman"/>
        <w:sz w:val="28"/>
        <w:szCs w:val="28"/>
      </w:rPr>
      <w:fldChar w:fldCharType="begin"/>
    </w:r>
    <w:r w:rsidR="001824C0"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A83E6C">
      <w:rPr>
        <w:rFonts w:ascii="Times New Roman" w:hAnsi="Times New Roman"/>
        <w:noProof/>
        <w:sz w:val="28"/>
        <w:szCs w:val="28"/>
      </w:rPr>
      <w:t>21</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E6C"/>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3C54"/>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11D54-8E5F-43BF-8659-2F504205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cbr.ru/hd_base/?PrtId=metall_base_new"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DF5FCE8-6A97-45A6-BE49-47A00918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15718</Words>
  <Characters>89599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105107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2017-12-27T08:57:00Z</cp:lastPrinted>
  <dcterms:created xsi:type="dcterms:W3CDTF">2018-03-01T06:49:00Z</dcterms:created>
  <dcterms:modified xsi:type="dcterms:W3CDTF">2018-03-01T06:49:00Z</dcterms:modified>
</cp:coreProperties>
</file>