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80" w:rsidRPr="002E7B12" w:rsidRDefault="00474880" w:rsidP="002E7B12">
      <w:pPr>
        <w:spacing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10101"/>
          <w:kern w:val="36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b/>
          <w:caps/>
          <w:color w:val="010101"/>
          <w:kern w:val="36"/>
          <w:sz w:val="30"/>
          <w:szCs w:val="30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474880" w:rsidRPr="00D436C2" w:rsidRDefault="00474880" w:rsidP="002E7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noProof/>
          <w:color w:val="41404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1917700" cy="1257300"/>
            <wp:effectExtent l="19050" t="0" r="6350" b="0"/>
            <wp:docPr id="2" name="Рисунок 2" descr="http://nac.gov.ru/sites/default/files/styles/universal_view/public/1pochta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default/files/styles/universal_view/public/1pochta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80" w:rsidRPr="00D436C2" w:rsidRDefault="00474880" w:rsidP="002E7B12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Порядок приёма сообщений, содержащих угрозы</w:t>
      </w: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br/>
        <w:t>террористического характера, по телефону</w:t>
      </w:r>
    </w:p>
    <w:p w:rsidR="002E7B12" w:rsidRDefault="00474880" w:rsidP="002E7B12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2E7B12" w:rsidRPr="002E7B12" w:rsidRDefault="00474880" w:rsidP="002E7B12">
      <w:pPr>
        <w:pStyle w:val="a9"/>
        <w:numPr>
          <w:ilvl w:val="0"/>
          <w:numId w:val="1"/>
        </w:numPr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Постарайтесь дословно запомнить разговор и зафиксировать его на бумаге.</w:t>
      </w:r>
    </w:p>
    <w:p w:rsidR="00E92704" w:rsidRDefault="00474880" w:rsidP="002E7B12">
      <w:pPr>
        <w:pStyle w:val="a9"/>
        <w:numPr>
          <w:ilvl w:val="0"/>
          <w:numId w:val="1"/>
        </w:numPr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По ходу разговора отметьте пол, возраст звонившего и особенности его речи:</w:t>
      </w:r>
    </w:p>
    <w:p w:rsidR="00E92704" w:rsidRDefault="00E92704" w:rsidP="00E92704">
      <w:pPr>
        <w:pStyle w:val="a9"/>
        <w:spacing w:after="0" w:line="44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голос (громкий, тихий, низкий, высокий);</w:t>
      </w:r>
    </w:p>
    <w:p w:rsidR="00E92704" w:rsidRDefault="00E92704" w:rsidP="00E92704">
      <w:pPr>
        <w:pStyle w:val="a9"/>
        <w:spacing w:after="0" w:line="44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темп речи (быстрый, медленный);</w:t>
      </w:r>
    </w:p>
    <w:p w:rsidR="00E92704" w:rsidRDefault="00E92704" w:rsidP="00E92704">
      <w:pPr>
        <w:pStyle w:val="a9"/>
        <w:spacing w:after="0" w:line="44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произношение (отчётливое, искажённое, с заиканием, шепелявое, акцент, диалект);</w:t>
      </w:r>
    </w:p>
    <w:p w:rsidR="002E7B12" w:rsidRDefault="00E92704" w:rsidP="00E92704">
      <w:pPr>
        <w:pStyle w:val="a9"/>
        <w:spacing w:after="0" w:line="44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bookmarkStart w:id="0" w:name="_GoBack"/>
      <w:bookmarkEnd w:id="0"/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манера речи (с издёвкой, развязная, нецензурные выражения).</w:t>
      </w:r>
    </w:p>
    <w:p w:rsidR="002E7B12" w:rsidRDefault="00474880" w:rsidP="002E7B12">
      <w:pPr>
        <w:pStyle w:val="a9"/>
        <w:numPr>
          <w:ilvl w:val="0"/>
          <w:numId w:val="1"/>
        </w:numPr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Обязательно отметьте звуковой фон (шум машины, железнодорожного транспорта, звук аппаратуры, голоса, шум леса и т.д.).</w:t>
      </w:r>
    </w:p>
    <w:p w:rsidR="002E7B12" w:rsidRDefault="00474880" w:rsidP="002E7B12">
      <w:pPr>
        <w:pStyle w:val="a9"/>
        <w:numPr>
          <w:ilvl w:val="0"/>
          <w:numId w:val="1"/>
        </w:numPr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Характер звонка (городской, междугородный).</w:t>
      </w:r>
    </w:p>
    <w:p w:rsidR="002E7B12" w:rsidRDefault="00474880" w:rsidP="002E7B12">
      <w:pPr>
        <w:pStyle w:val="a9"/>
        <w:numPr>
          <w:ilvl w:val="0"/>
          <w:numId w:val="1"/>
        </w:numPr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Зафиксируйте время начала и конца разговора.</w:t>
      </w:r>
    </w:p>
    <w:p w:rsidR="002E7B12" w:rsidRDefault="00474880" w:rsidP="002E7B12">
      <w:pPr>
        <w:pStyle w:val="a9"/>
        <w:numPr>
          <w:ilvl w:val="0"/>
          <w:numId w:val="1"/>
        </w:numPr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В ходе разговора постарайтесь получить ответы на следующие вопросы:</w:t>
      </w:r>
    </w:p>
    <w:p w:rsidR="002E7B12" w:rsidRDefault="002E7B12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куда, кому, по какому телефону звонит этот человек;</w:t>
      </w:r>
    </w:p>
    <w:p w:rsidR="002E7B12" w:rsidRDefault="002E7B12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какие конкретные требования он выдвигает;</w:t>
      </w:r>
    </w:p>
    <w:p w:rsidR="002E7B12" w:rsidRDefault="002E7B12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выдвигает требования он лично, выступает в роли посредника или представляет какую-то группу лиц;</w:t>
      </w:r>
    </w:p>
    <w:p w:rsidR="002E7B12" w:rsidRDefault="002E7B12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на каких условиях они согласны отказаться от задуманного;</w:t>
      </w:r>
    </w:p>
    <w:p w:rsidR="002E7B12" w:rsidRDefault="002E7B12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как и когда с ними можно связаться;</w:t>
      </w:r>
    </w:p>
    <w:p w:rsidR="002E7B12" w:rsidRDefault="002E7B12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кому вы можете или должны сообщить об этом звонке.</w:t>
      </w:r>
    </w:p>
    <w:p w:rsidR="002E7B12" w:rsidRDefault="00474880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lastRenderedPageBreak/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2E7B12" w:rsidRDefault="00474880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2E7B12" w:rsidRDefault="00474880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2E7B12" w:rsidRDefault="00474880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2E7B12" w:rsidRDefault="00474880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2E7B12" w:rsidRDefault="00474880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12. Не вешайте телефонную трубку по окончании разговора.</w:t>
      </w:r>
    </w:p>
    <w:p w:rsidR="00474880" w:rsidRDefault="00474880" w:rsidP="002E7B12">
      <w:pPr>
        <w:pStyle w:val="a9"/>
        <w:spacing w:after="0" w:line="440" w:lineRule="atLeast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2E7B1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13. В течение всего разговора сохраняйте терпение. Говорите спокойно и вежливо, не прерывайте абонента.</w:t>
      </w:r>
    </w:p>
    <w:p w:rsidR="00474880" w:rsidRDefault="00474880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Правила обращения с анонимными материалами,</w:t>
      </w: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br/>
        <w:t>содержащими угрозы террористического характера</w:t>
      </w:r>
    </w:p>
    <w:p w:rsidR="00FC2AFD" w:rsidRPr="00FC2AFD" w:rsidRDefault="00474880" w:rsidP="00FC2AFD">
      <w:pPr>
        <w:pStyle w:val="a9"/>
        <w:numPr>
          <w:ilvl w:val="0"/>
          <w:numId w:val="2"/>
        </w:numPr>
        <w:spacing w:after="0" w:line="4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FC2AFD" w:rsidRDefault="00474880" w:rsidP="00FC2AFD">
      <w:pPr>
        <w:pStyle w:val="a9"/>
        <w:numPr>
          <w:ilvl w:val="0"/>
          <w:numId w:val="2"/>
        </w:numPr>
        <w:spacing w:after="0" w:line="4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Постарайтесь не оставлять на нём отпечатков своих пальцев.</w:t>
      </w:r>
    </w:p>
    <w:p w:rsidR="00FC2AFD" w:rsidRDefault="00474880" w:rsidP="00FC2AFD">
      <w:pPr>
        <w:pStyle w:val="a9"/>
        <w:numPr>
          <w:ilvl w:val="0"/>
          <w:numId w:val="2"/>
        </w:numPr>
        <w:spacing w:after="0" w:line="4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FC2AFD" w:rsidRDefault="00474880" w:rsidP="00FC2AFD">
      <w:pPr>
        <w:pStyle w:val="a9"/>
        <w:numPr>
          <w:ilvl w:val="0"/>
          <w:numId w:val="2"/>
        </w:numPr>
        <w:spacing w:after="0" w:line="4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Сохраняйте всё: документ с текстом, любые вложения, конверт и упаковку, ничего не выбрасывайте.</w:t>
      </w:r>
    </w:p>
    <w:p w:rsidR="00FC2AFD" w:rsidRDefault="00474880" w:rsidP="00FC2AFD">
      <w:pPr>
        <w:pStyle w:val="a9"/>
        <w:numPr>
          <w:ilvl w:val="0"/>
          <w:numId w:val="2"/>
        </w:numPr>
        <w:spacing w:after="0" w:line="4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 расширяйте круг лиц, знакомившихся с содержанием документа.</w:t>
      </w:r>
    </w:p>
    <w:p w:rsidR="00FC2AFD" w:rsidRDefault="00474880" w:rsidP="00FC2AFD">
      <w:pPr>
        <w:pStyle w:val="a9"/>
        <w:numPr>
          <w:ilvl w:val="0"/>
          <w:numId w:val="2"/>
        </w:numPr>
        <w:spacing w:after="0" w:line="4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FC2AFD" w:rsidRDefault="00474880" w:rsidP="00FC2AFD">
      <w:pPr>
        <w:pStyle w:val="a9"/>
        <w:numPr>
          <w:ilvl w:val="0"/>
          <w:numId w:val="2"/>
        </w:numPr>
        <w:spacing w:after="0" w:line="4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lastRenderedPageBreak/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474880" w:rsidRDefault="00474880" w:rsidP="00FC2AFD">
      <w:pPr>
        <w:pStyle w:val="a9"/>
        <w:numPr>
          <w:ilvl w:val="0"/>
          <w:numId w:val="2"/>
        </w:numPr>
        <w:spacing w:after="0" w:line="4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474880" w:rsidRDefault="00474880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Рекомендации при работе с почтой, подозрительной</w:t>
      </w: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br/>
        <w:t>на заражение биологической субстанцией</w:t>
      </w: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br/>
        <w:t>или химическим веществом</w:t>
      </w:r>
    </w:p>
    <w:p w:rsidR="00FC2AFD" w:rsidRDefault="00474880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Что такое «подозрительное письмо (бандероль)»?</w:t>
      </w: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br/>
      </w:r>
      <w:r w:rsidRPr="00D436C2"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вы не ожидали этих писем от кого-то, кого вы знаете;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адресованы кому-либо, кто уже не работает в вашей организации, или имеют ещё какие-то неточности в адресе;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 имеют обратного адреса или имеют неправильный обратный адрес;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необычны по весу, размеру, кривые по бокам или необычны по форме;</w:t>
      </w:r>
    </w:p>
    <w:p w:rsidR="00474880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помечены ограничениями типа «Лично» и «Конфиденциально»;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в конвертах прощупывается (или торчат) проводки, конверты имеют странный запах или цвет;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почтовая марка на конверте не соответствует городу и государству в обратном адресе.</w:t>
      </w:r>
    </w:p>
    <w:p w:rsidR="00FC2AFD" w:rsidRDefault="00474880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  <w:t>Что делать, если вы получили подозрительное письмо по почте: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 вскрывайте конверт;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положите его в пластиковый пакет;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положите туда же лежащие в непосредственной близости с письмом предметы.</w:t>
      </w:r>
    </w:p>
    <w:p w:rsidR="00FC2AFD" w:rsidRDefault="00474880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  <w:t>При получении почты, подозрительной в отношении сибирской язвы: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 брать в руки подозрительное письмо или бандероль;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FC2AFD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lastRenderedPageBreak/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убедиться, что все, кто трогал письмо (бандероль), вымыли руки водой с мылом;</w:t>
      </w:r>
    </w:p>
    <w:p w:rsidR="00474880" w:rsidRPr="00D436C2" w:rsidRDefault="00FC2AFD" w:rsidP="00FC2AFD">
      <w:pPr>
        <w:spacing w:after="0" w:line="4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как можно быстрее вымыться под душем с мылом.</w:t>
      </w:r>
    </w:p>
    <w:p w:rsidR="00474880" w:rsidRDefault="00474880" w:rsidP="00D436C2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 </w:t>
      </w:r>
      <w:r w:rsid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ab/>
      </w: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Действия при обнаружении взрывного устройства</w:t>
      </w: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br/>
        <w:t>в почтовом отправлении</w:t>
      </w:r>
    </w:p>
    <w:p w:rsidR="00FC2AFD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  <w:t>Основные признаки: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смещение центра тяжести письма к одной из его сторон;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наличие в конверте перемещающихся предметов либо порошка;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наличие во вложении металлических либо пластмассовых предметов;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наличие на конверте масляных пятен, проколов, металлических кнопок, полосок и т.д.;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наличие необычного запаха (миндаля, жжёной пластмассы и др.);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«тиканье» в бандеролях и посылках.</w:t>
      </w:r>
    </w:p>
    <w:p w:rsidR="00FC2AFD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Всё это позволяет предполагать наличие в отправлении взрывной начинки.</w:t>
      </w:r>
    </w:p>
    <w:p w:rsidR="00FC2AFD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  <w:t>К числу вспомогательных признаков следует отнести: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особо тщательную заделку письма, бандероли, посылки, в том числе скотчем;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474880" w:rsidRPr="00D436C2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-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нестандартная упаковка.</w:t>
      </w:r>
    </w:p>
    <w:p w:rsidR="00474880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Порядок действий</w:t>
      </w:r>
    </w:p>
    <w:p w:rsidR="00FC2AFD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FC2AFD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474880" w:rsidRPr="00D436C2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474880" w:rsidRPr="00D436C2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lastRenderedPageBreak/>
        <w:t>Правила поведения при обнаружении ВУ</w:t>
      </w:r>
    </w:p>
    <w:p w:rsidR="00FC2AFD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FC2AFD" w:rsidRDefault="00FC2AFD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 xml:space="preserve"> </w:t>
      </w:r>
      <w:r w:rsidR="00474880"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FC2AFD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 w:rsidR="00474880" w:rsidRPr="00D436C2" w:rsidRDefault="00474880" w:rsidP="00FC2AFD">
      <w:pPr>
        <w:spacing w:after="0" w:line="4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474880" w:rsidRDefault="00474880" w:rsidP="00D436C2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</w:pPr>
      <w:r w:rsidRPr="00D436C2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> </w:t>
      </w:r>
      <w:r w:rsidR="00FC2AFD"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  <w:tab/>
      </w: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t>Рекомендуемые зоны эвакуации (и оцепления)</w:t>
      </w:r>
      <w:r w:rsidRPr="00D436C2">
        <w:rPr>
          <w:rFonts w:ascii="Times New Roman" w:eastAsia="Times New Roman" w:hAnsi="Times New Roman" w:cs="Times New Roman"/>
          <w:b/>
          <w:bCs/>
          <w:color w:val="414040"/>
          <w:sz w:val="30"/>
          <w:szCs w:val="30"/>
          <w:lang w:eastAsia="ru-RU"/>
        </w:rPr>
        <w:br/>
        <w:t>при обнаружении взрывного устройства или предмета, подозрительного на взрывное устройство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3402"/>
      </w:tblGrid>
      <w:tr w:rsidR="00FC2AFD" w:rsidTr="000216E4">
        <w:tc>
          <w:tcPr>
            <w:tcW w:w="1129" w:type="dxa"/>
          </w:tcPr>
          <w:p w:rsidR="00FC2AFD" w:rsidRPr="000216E4" w:rsidRDefault="00FC2AFD" w:rsidP="00D436C2">
            <w:p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14040"/>
                <w:sz w:val="30"/>
                <w:szCs w:val="30"/>
                <w:lang w:eastAsia="ru-RU"/>
              </w:rPr>
            </w:pPr>
            <w:r w:rsidRPr="000216E4">
              <w:rPr>
                <w:rFonts w:ascii="Times New Roman" w:eastAsia="Times New Roman" w:hAnsi="Times New Roman" w:cs="Times New Roman"/>
                <w:b/>
                <w:color w:val="41404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FC2AFD" w:rsidRPr="000216E4" w:rsidRDefault="00FC2AFD" w:rsidP="00D436C2">
            <w:p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14040"/>
                <w:sz w:val="30"/>
                <w:szCs w:val="30"/>
                <w:lang w:eastAsia="ru-RU"/>
              </w:rPr>
            </w:pPr>
            <w:r w:rsidRPr="000216E4">
              <w:rPr>
                <w:rFonts w:ascii="Times New Roman" w:eastAsia="Times New Roman" w:hAnsi="Times New Roman" w:cs="Times New Roman"/>
                <w:b/>
                <w:color w:val="414040"/>
                <w:sz w:val="30"/>
                <w:szCs w:val="30"/>
                <w:lang w:eastAsia="ru-RU"/>
              </w:rPr>
              <w:t>Взрывное устройство или предмет</w:t>
            </w:r>
          </w:p>
        </w:tc>
        <w:tc>
          <w:tcPr>
            <w:tcW w:w="3402" w:type="dxa"/>
          </w:tcPr>
          <w:p w:rsidR="00FC2AFD" w:rsidRPr="000216E4" w:rsidRDefault="00FC2AFD" w:rsidP="00D436C2">
            <w:p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414040"/>
                <w:sz w:val="30"/>
                <w:szCs w:val="30"/>
                <w:lang w:eastAsia="ru-RU"/>
              </w:rPr>
            </w:pPr>
            <w:r w:rsidRPr="000216E4">
              <w:rPr>
                <w:rFonts w:ascii="Times New Roman" w:eastAsia="Times New Roman" w:hAnsi="Times New Roman" w:cs="Times New Roman"/>
                <w:b/>
                <w:color w:val="414040"/>
                <w:sz w:val="30"/>
                <w:szCs w:val="30"/>
                <w:lang w:eastAsia="ru-RU"/>
              </w:rPr>
              <w:t>радиус зоны оцепления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Граната РГД-5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50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Граната Ф-1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200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Тротиловая шашка – 200 г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45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Тротиловая шашка – 400 г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55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Пивная банка – 0,33 л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60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Мина – МОН-50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 xml:space="preserve">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Чемодан (кейс)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230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Дорожный чемодан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250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Автомобиль «Жигули»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460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Автомобиль «Волга»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580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Микроавтобус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920 м</w:t>
            </w:r>
          </w:p>
        </w:tc>
      </w:tr>
      <w:tr w:rsidR="00FC2AFD" w:rsidTr="000216E4">
        <w:tc>
          <w:tcPr>
            <w:tcW w:w="1129" w:type="dxa"/>
          </w:tcPr>
          <w:p w:rsidR="00FC2AFD" w:rsidRPr="000216E4" w:rsidRDefault="00FC2AFD" w:rsidP="000216E4">
            <w:pPr>
              <w:pStyle w:val="a9"/>
              <w:numPr>
                <w:ilvl w:val="0"/>
                <w:numId w:val="3"/>
              </w:numPr>
              <w:spacing w:line="4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</w:p>
        </w:tc>
        <w:tc>
          <w:tcPr>
            <w:tcW w:w="496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Грузовик-фургон</w:t>
            </w:r>
          </w:p>
        </w:tc>
        <w:tc>
          <w:tcPr>
            <w:tcW w:w="3402" w:type="dxa"/>
          </w:tcPr>
          <w:p w:rsidR="00FC2AFD" w:rsidRDefault="00FC2AFD" w:rsidP="000216E4">
            <w:pPr>
              <w:spacing w:line="4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</w:pPr>
            <w:r w:rsidRPr="00D436C2">
              <w:rPr>
                <w:rFonts w:ascii="Times New Roman" w:eastAsia="Times New Roman" w:hAnsi="Times New Roman" w:cs="Times New Roman"/>
                <w:color w:val="414040"/>
                <w:sz w:val="30"/>
                <w:szCs w:val="30"/>
                <w:lang w:eastAsia="ru-RU"/>
              </w:rPr>
              <w:t>1240 м</w:t>
            </w:r>
          </w:p>
        </w:tc>
      </w:tr>
    </w:tbl>
    <w:p w:rsidR="00FC2AFD" w:rsidRPr="00D436C2" w:rsidRDefault="00FC2AFD" w:rsidP="00D436C2">
      <w:pPr>
        <w:spacing w:after="0" w:line="44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30"/>
          <w:szCs w:val="30"/>
          <w:lang w:eastAsia="ru-RU"/>
        </w:rPr>
      </w:pPr>
    </w:p>
    <w:sectPr w:rsidR="00FC2AFD" w:rsidRPr="00D436C2" w:rsidSect="00D436C2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B2A"/>
    <w:multiLevelType w:val="hybridMultilevel"/>
    <w:tmpl w:val="E764A408"/>
    <w:lvl w:ilvl="0" w:tplc="C770B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E72FB"/>
    <w:multiLevelType w:val="hybridMultilevel"/>
    <w:tmpl w:val="FA82EA9E"/>
    <w:lvl w:ilvl="0" w:tplc="CE3C8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F85050"/>
    <w:multiLevelType w:val="hybridMultilevel"/>
    <w:tmpl w:val="8BCE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0"/>
    <w:rsid w:val="000216E4"/>
    <w:rsid w:val="0023176C"/>
    <w:rsid w:val="002E7B12"/>
    <w:rsid w:val="00474880"/>
    <w:rsid w:val="007A42CB"/>
    <w:rsid w:val="00D436C2"/>
    <w:rsid w:val="00E92704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4EBC"/>
  <w15:docId w15:val="{4769B143-4F9B-41BF-8711-A618A1A4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6C"/>
  </w:style>
  <w:style w:type="paragraph" w:styleId="1">
    <w:name w:val="heading 1"/>
    <w:basedOn w:val="a"/>
    <w:link w:val="10"/>
    <w:uiPriority w:val="9"/>
    <w:qFormat/>
    <w:rsid w:val="00474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4880"/>
    <w:rPr>
      <w:color w:val="0000FF"/>
      <w:u w:val="single"/>
    </w:rPr>
  </w:style>
  <w:style w:type="paragraph" w:customStyle="1" w:styleId="rtecenter">
    <w:name w:val="rtecenter"/>
    <w:basedOn w:val="a"/>
    <w:rsid w:val="004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880"/>
    <w:rPr>
      <w:b/>
      <w:bCs/>
    </w:rPr>
  </w:style>
  <w:style w:type="paragraph" w:customStyle="1" w:styleId="rtejustify">
    <w:name w:val="rtejustify"/>
    <w:basedOn w:val="a"/>
    <w:rsid w:val="004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4880"/>
    <w:rPr>
      <w:i/>
      <w:iCs/>
    </w:rPr>
  </w:style>
  <w:style w:type="paragraph" w:styleId="a6">
    <w:name w:val="Normal (Web)"/>
    <w:basedOn w:val="a"/>
    <w:uiPriority w:val="99"/>
    <w:semiHidden/>
    <w:unhideWhenUsed/>
    <w:rsid w:val="004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7B12"/>
    <w:pPr>
      <w:ind w:left="720"/>
      <w:contextualSpacing/>
    </w:pPr>
  </w:style>
  <w:style w:type="table" w:styleId="aa">
    <w:name w:val="Table Grid"/>
    <w:basedOn w:val="a1"/>
    <w:uiPriority w:val="59"/>
    <w:rsid w:val="00FC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609">
          <w:marLeft w:val="0"/>
          <w:marRight w:val="0"/>
          <w:marTop w:val="0"/>
          <w:marBottom w:val="240"/>
          <w:divBdr>
            <w:top w:val="single" w:sz="8" w:space="10" w:color="EFEFEF"/>
            <w:left w:val="none" w:sz="0" w:space="10" w:color="auto"/>
            <w:bottom w:val="single" w:sz="8" w:space="10" w:color="EFEFEF"/>
            <w:right w:val="none" w:sz="0" w:space="10" w:color="auto"/>
          </w:divBdr>
        </w:div>
        <w:div w:id="497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82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1459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nac.gov.ru/sites/default/files/styles/watermark/public/1poch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XXJ7TYMEEKJ2-3195-394</_dlc_DocId>
    <_dlc_DocIdUrl xmlns="57504d04-691e-4fc4-8f09-4f19fdbe90f6">
      <Url>https://vip.gov.mari.ru/minsport/_layouts/DocIdRedir.aspx?ID=XXJ7TYMEEKJ2-3195-394</Url>
      <Description>XXJ7TYMEEKJ2-3195-394</Description>
    </_dlc_DocIdUrl>
  </documentManagement>
</p:properties>
</file>

<file path=customXml/itemProps1.xml><?xml version="1.0" encoding="utf-8"?>
<ds:datastoreItem xmlns:ds="http://schemas.openxmlformats.org/officeDocument/2006/customXml" ds:itemID="{17CEA758-767E-4D9D-B34F-05B9AFABE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15712-BF20-42E1-AAA0-2BF73D064F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181767-E23C-4ACF-AA7D-14570320E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ED05E-F7BC-4F25-811B-3CEE33347063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Фаттахов Фаиль Гильмутдинович</cp:lastModifiedBy>
  <cp:revision>4</cp:revision>
  <dcterms:created xsi:type="dcterms:W3CDTF">2020-01-28T10:04:00Z</dcterms:created>
  <dcterms:modified xsi:type="dcterms:W3CDTF">2020-01-29T09:23:00Z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67e80459-64eb-48e4-a031-b9e0ea80a4b5</vt:lpwstr>
  </property>
</Properties>
</file>